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B888B">
      <w:pPr>
        <w:pStyle w:val="3"/>
        <w:numPr>
          <w:ilvl w:val="0"/>
          <w:numId w:val="1"/>
        </w:numPr>
        <w:spacing w:line="360" w:lineRule="auto"/>
        <w:ind w:left="0" w:leftChars="0" w:firstLine="0" w:firstLineChars="0"/>
        <w:jc w:val="center"/>
        <w:rPr>
          <w:rFonts w:hint="eastAsia" w:ascii="宋体" w:hAnsi="宋体" w:cs="宋体"/>
          <w:color w:val="auto"/>
          <w:sz w:val="44"/>
          <w:szCs w:val="24"/>
          <w:highlight w:val="none"/>
        </w:rPr>
      </w:pPr>
      <w:bookmarkStart w:id="0" w:name="_Toc8958"/>
      <w:r>
        <w:rPr>
          <w:rFonts w:hint="eastAsia" w:ascii="宋体" w:hAnsi="宋体" w:cs="宋体"/>
          <w:color w:val="auto"/>
          <w:sz w:val="44"/>
          <w:szCs w:val="24"/>
          <w:highlight w:val="none"/>
        </w:rPr>
        <w:t>拟签订的合同条款</w:t>
      </w:r>
      <w:bookmarkEnd w:id="0"/>
    </w:p>
    <w:p w14:paraId="395437B7">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甲方：</w:t>
      </w:r>
    </w:p>
    <w:p w14:paraId="6A9B309A">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乙方： </w:t>
      </w:r>
    </w:p>
    <w:p w14:paraId="6D5EF966">
      <w:pPr>
        <w:keepNext/>
        <w:keepLines/>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hAnsi="宋体" w:cs="宋体"/>
          <w:bCs/>
          <w:color w:val="auto"/>
          <w:sz w:val="24"/>
          <w:highlight w:val="none"/>
          <w:u w:val="single"/>
          <w:lang w:val="en-US" w:eastAsia="zh-CN"/>
        </w:rPr>
        <w:t>(项目名称：     )</w:t>
      </w:r>
      <w:r>
        <w:rPr>
          <w:rFonts w:hint="eastAsia" w:ascii="宋体" w:hAnsi="宋体" w:cs="宋体"/>
          <w:bCs/>
          <w:color w:val="auto"/>
          <w:sz w:val="24"/>
          <w:highlight w:val="none"/>
          <w:u w:val="single"/>
        </w:rPr>
        <w:t>(项目编号：</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lang w:eastAsia="zh-CN"/>
        </w:rPr>
        <w:t>）</w:t>
      </w:r>
      <w:r>
        <w:rPr>
          <w:rFonts w:hint="eastAsia" w:ascii="宋体" w:hAnsi="宋体" w:cs="宋体"/>
          <w:bCs/>
          <w:color w:val="auto"/>
          <w:sz w:val="24"/>
          <w:highlight w:val="none"/>
        </w:rPr>
        <w:t>由陕西明正招标有限公司组织竞争性</w:t>
      </w:r>
      <w:r>
        <w:rPr>
          <w:rFonts w:hint="eastAsia" w:ascii="宋体" w:hAnsi="宋体" w:cs="宋体"/>
          <w:bCs/>
          <w:color w:val="auto"/>
          <w:sz w:val="24"/>
          <w:highlight w:val="none"/>
          <w:lang w:val="en-US" w:eastAsia="zh-CN"/>
        </w:rPr>
        <w:t>磋商采购</w:t>
      </w:r>
      <w:r>
        <w:rPr>
          <w:rFonts w:hint="eastAsia" w:ascii="宋体" w:hAnsi="宋体" w:cs="宋体"/>
          <w:bCs/>
          <w:color w:val="auto"/>
          <w:sz w:val="24"/>
          <w:highlight w:val="none"/>
        </w:rPr>
        <w:t>，</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(以下简称“甲方”)确定</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（以下简称“乙方”）为的成交供应商。</w:t>
      </w:r>
    </w:p>
    <w:p w14:paraId="16E92FE5">
      <w:pPr>
        <w:autoSpaceDE w:val="0"/>
        <w:autoSpaceDN w:val="0"/>
        <w:adjustRightInd w:val="0"/>
        <w:spacing w:line="348"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依据《中华人民共和国</w:t>
      </w:r>
      <w:r>
        <w:rPr>
          <w:rFonts w:hint="eastAsia" w:ascii="宋体" w:hAnsi="宋体" w:cs="宋体"/>
          <w:bCs/>
          <w:color w:val="auto"/>
          <w:sz w:val="24"/>
          <w:highlight w:val="none"/>
          <w:lang w:val="en-US" w:eastAsia="zh-CN"/>
        </w:rPr>
        <w:t>民法典</w:t>
      </w:r>
      <w:r>
        <w:rPr>
          <w:rFonts w:hint="eastAsia" w:ascii="宋体" w:hAnsi="宋体" w:cs="宋体"/>
          <w:bCs/>
          <w:color w:val="auto"/>
          <w:sz w:val="24"/>
          <w:highlight w:val="none"/>
        </w:rPr>
        <w:t>》和《</w:t>
      </w:r>
      <w:r>
        <w:rPr>
          <w:rFonts w:hint="eastAsia" w:ascii="宋体" w:hAnsi="宋体" w:cs="宋体"/>
          <w:color w:val="auto"/>
          <w:sz w:val="24"/>
          <w:highlight w:val="none"/>
        </w:rPr>
        <w:t>中华人民共和国政府采购法</w:t>
      </w:r>
      <w:r>
        <w:rPr>
          <w:rFonts w:hint="eastAsia" w:ascii="宋体" w:hAnsi="宋体" w:cs="宋体"/>
          <w:bCs/>
          <w:color w:val="auto"/>
          <w:sz w:val="24"/>
          <w:highlight w:val="none"/>
        </w:rPr>
        <w:t>》，经双方协商按下述条款和条件签署本合同。</w:t>
      </w:r>
    </w:p>
    <w:p w14:paraId="43114F5B">
      <w:pPr>
        <w:autoSpaceDE w:val="0"/>
        <w:autoSpaceDN w:val="0"/>
        <w:adjustRightInd w:val="0"/>
        <w:spacing w:line="348"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一、合同价款</w:t>
      </w:r>
    </w:p>
    <w:p w14:paraId="31E4A433">
      <w:pPr>
        <w:autoSpaceDE w:val="0"/>
        <w:autoSpaceDN w:val="0"/>
        <w:adjustRightInd w:val="0"/>
        <w:spacing w:line="360" w:lineRule="auto"/>
        <w:ind w:firstLine="480" w:firstLineChars="200"/>
        <w:rPr>
          <w:rFonts w:ascii="宋体" w:hAnsi="宋体"/>
          <w:bCs/>
          <w:color w:val="auto"/>
          <w:sz w:val="24"/>
        </w:rPr>
      </w:pPr>
      <w:r>
        <w:rPr>
          <w:rFonts w:hint="eastAsia" w:ascii="宋体" w:hAnsi="宋体"/>
          <w:bCs/>
          <w:color w:val="auto"/>
          <w:sz w:val="24"/>
        </w:rPr>
        <w:t>（一）合同总价款为人民币（大写）</w:t>
      </w:r>
      <w:r>
        <w:rPr>
          <w:rFonts w:hint="eastAsia" w:ascii="宋体" w:hAnsi="宋体"/>
          <w:bCs/>
          <w:color w:val="auto"/>
          <w:sz w:val="24"/>
          <w:u w:val="single"/>
        </w:rPr>
        <w:t xml:space="preserve">             </w:t>
      </w:r>
      <w:r>
        <w:rPr>
          <w:rFonts w:hint="eastAsia" w:ascii="宋体" w:hAnsi="宋体"/>
          <w:bCs/>
          <w:color w:val="auto"/>
          <w:sz w:val="24"/>
        </w:rPr>
        <w:t>（￥</w:t>
      </w:r>
      <w:r>
        <w:rPr>
          <w:rFonts w:hint="eastAsia" w:ascii="宋体" w:hAnsi="宋体"/>
          <w:bCs/>
          <w:color w:val="auto"/>
          <w:sz w:val="24"/>
          <w:u w:val="single"/>
        </w:rPr>
        <w:t xml:space="preserve">     </w:t>
      </w:r>
      <w:r>
        <w:rPr>
          <w:rFonts w:hint="eastAsia" w:ascii="宋体" w:hAnsi="宋体"/>
          <w:bCs/>
          <w:color w:val="auto"/>
          <w:sz w:val="24"/>
        </w:rPr>
        <w:t xml:space="preserve"> ）。</w:t>
      </w:r>
    </w:p>
    <w:p w14:paraId="0DA8BCDF">
      <w:pPr>
        <w:autoSpaceDE w:val="0"/>
        <w:autoSpaceDN w:val="0"/>
        <w:adjustRightInd w:val="0"/>
        <w:spacing w:line="360" w:lineRule="auto"/>
        <w:ind w:firstLine="480" w:firstLineChars="200"/>
        <w:rPr>
          <w:rFonts w:hint="eastAsia" w:ascii="宋体" w:hAnsi="宋体" w:cs="宋体"/>
          <w:color w:val="auto"/>
          <w:sz w:val="24"/>
          <w:highlight w:val="yellow"/>
        </w:rPr>
      </w:pPr>
      <w:r>
        <w:rPr>
          <w:rFonts w:hint="eastAsia" w:ascii="宋体" w:hAnsi="宋体"/>
          <w:bCs/>
          <w:color w:val="auto"/>
          <w:sz w:val="24"/>
        </w:rPr>
        <w:t>（二）合同总价包括：</w:t>
      </w:r>
      <w:r>
        <w:rPr>
          <w:rFonts w:hint="eastAsia" w:ascii="宋体" w:hAnsi="宋体" w:cs="宋体"/>
          <w:color w:val="auto"/>
          <w:sz w:val="24"/>
        </w:rPr>
        <w:t>本项目所需的一切</w:t>
      </w:r>
      <w:r>
        <w:rPr>
          <w:rFonts w:hint="eastAsia" w:ascii="宋体" w:hAnsi="宋体" w:cs="宋体"/>
          <w:color w:val="auto"/>
          <w:sz w:val="24"/>
          <w:highlight w:val="none"/>
        </w:rPr>
        <w:t>费用。</w:t>
      </w:r>
    </w:p>
    <w:p w14:paraId="786DB85E">
      <w:pPr>
        <w:autoSpaceDE w:val="0"/>
        <w:autoSpaceDN w:val="0"/>
        <w:adjustRightInd w:val="0"/>
        <w:spacing w:line="360" w:lineRule="auto"/>
        <w:ind w:firstLine="480" w:firstLineChars="200"/>
        <w:rPr>
          <w:rFonts w:hint="eastAsia" w:ascii="宋体" w:hAnsi="宋体"/>
          <w:bCs/>
          <w:color w:val="auto"/>
          <w:sz w:val="24"/>
        </w:rPr>
      </w:pPr>
      <w:r>
        <w:rPr>
          <w:rFonts w:hint="eastAsia" w:ascii="宋体" w:hAnsi="宋体"/>
          <w:bCs/>
          <w:color w:val="auto"/>
          <w:sz w:val="24"/>
        </w:rPr>
        <w:t>（三）合同总价一次性包死，不受市场价格变化因素的影响。</w:t>
      </w:r>
    </w:p>
    <w:p w14:paraId="769A71B3">
      <w:pPr>
        <w:autoSpaceDE w:val="0"/>
        <w:autoSpaceDN w:val="0"/>
        <w:adjustRightInd w:val="0"/>
        <w:spacing w:line="360" w:lineRule="auto"/>
        <w:ind w:firstLine="482" w:firstLineChars="200"/>
        <w:rPr>
          <w:rFonts w:ascii="宋体" w:hAnsi="宋体"/>
          <w:bCs/>
          <w:color w:val="auto"/>
          <w:sz w:val="24"/>
        </w:rPr>
      </w:pPr>
      <w:r>
        <w:rPr>
          <w:rFonts w:hint="eastAsia" w:ascii="宋体" w:hAnsi="宋体"/>
          <w:b/>
          <w:bCs/>
          <w:color w:val="auto"/>
          <w:sz w:val="24"/>
        </w:rPr>
        <w:t>二、服务地点及服务期限：</w:t>
      </w:r>
    </w:p>
    <w:p w14:paraId="49B61F88">
      <w:pPr>
        <w:autoSpaceDE w:val="0"/>
        <w:autoSpaceDN w:val="0"/>
        <w:adjustRightInd w:val="0"/>
        <w:spacing w:line="360" w:lineRule="auto"/>
        <w:ind w:firstLine="480" w:firstLineChars="200"/>
        <w:rPr>
          <w:rFonts w:ascii="宋体" w:hAnsi="宋体"/>
          <w:bCs/>
          <w:color w:val="auto"/>
          <w:sz w:val="24"/>
        </w:rPr>
      </w:pPr>
      <w:r>
        <w:rPr>
          <w:rFonts w:hint="eastAsia" w:ascii="宋体" w:hAnsi="宋体"/>
          <w:bCs/>
          <w:color w:val="auto"/>
          <w:sz w:val="24"/>
        </w:rPr>
        <w:t>（一）服务地点：</w:t>
      </w:r>
    </w:p>
    <w:p w14:paraId="49F3AE0B">
      <w:pPr>
        <w:spacing w:line="360" w:lineRule="auto"/>
        <w:ind w:firstLine="480" w:firstLineChars="200"/>
        <w:rPr>
          <w:rFonts w:ascii="宋体" w:hAnsi="宋体"/>
          <w:color w:val="auto"/>
          <w:sz w:val="24"/>
        </w:rPr>
      </w:pPr>
      <w:r>
        <w:rPr>
          <w:rFonts w:hint="eastAsia" w:ascii="宋体" w:hAnsi="宋体"/>
          <w:bCs/>
          <w:color w:val="auto"/>
          <w:sz w:val="24"/>
        </w:rPr>
        <w:t>（二）服务期</w:t>
      </w:r>
      <w:r>
        <w:rPr>
          <w:rFonts w:hint="eastAsia" w:ascii="宋体" w:hAnsi="宋体"/>
          <w:bCs/>
          <w:color w:val="auto"/>
          <w:sz w:val="24"/>
          <w:lang w:val="en-US" w:eastAsia="zh-CN"/>
        </w:rPr>
        <w:t>限</w:t>
      </w:r>
      <w:r>
        <w:rPr>
          <w:rFonts w:hint="eastAsia" w:ascii="宋体" w:hAnsi="宋体"/>
          <w:bCs/>
          <w:color w:val="auto"/>
          <w:sz w:val="24"/>
        </w:rPr>
        <w:t>：</w:t>
      </w:r>
    </w:p>
    <w:p w14:paraId="58BC0DD3">
      <w:pPr>
        <w:autoSpaceDE w:val="0"/>
        <w:autoSpaceDN w:val="0"/>
        <w:adjustRightInd w:val="0"/>
        <w:spacing w:line="360" w:lineRule="auto"/>
        <w:ind w:firstLine="482" w:firstLineChars="200"/>
        <w:rPr>
          <w:rFonts w:ascii="宋体" w:hAnsi="宋体"/>
          <w:b/>
          <w:bCs/>
          <w:color w:val="auto"/>
          <w:sz w:val="24"/>
        </w:rPr>
      </w:pPr>
      <w:r>
        <w:rPr>
          <w:rFonts w:hint="eastAsia" w:ascii="宋体" w:hAnsi="宋体"/>
          <w:b/>
          <w:bCs/>
          <w:color w:val="auto"/>
          <w:sz w:val="24"/>
        </w:rPr>
        <w:t>三、款项结算</w:t>
      </w:r>
    </w:p>
    <w:p w14:paraId="69D1D445">
      <w:pPr>
        <w:autoSpaceDE w:val="0"/>
        <w:autoSpaceDN w:val="0"/>
        <w:adjustRightInd w:val="0"/>
        <w:spacing w:line="360" w:lineRule="auto"/>
        <w:ind w:firstLine="480" w:firstLineChars="200"/>
        <w:rPr>
          <w:rFonts w:ascii="宋体" w:hAnsi="宋体"/>
          <w:bCs/>
          <w:color w:val="auto"/>
          <w:sz w:val="24"/>
        </w:rPr>
      </w:pPr>
      <w:r>
        <w:rPr>
          <w:rFonts w:hint="eastAsia" w:ascii="宋体" w:hAnsi="宋体"/>
          <w:bCs/>
          <w:color w:val="auto"/>
          <w:sz w:val="24"/>
        </w:rPr>
        <w:t>（一）</w:t>
      </w:r>
      <w:r>
        <w:rPr>
          <w:rFonts w:hint="eastAsia" w:ascii="宋体" w:hAnsi="宋体"/>
          <w:bCs/>
          <w:color w:val="auto"/>
          <w:sz w:val="24"/>
          <w:lang w:val="en-US" w:eastAsia="zh-CN"/>
        </w:rPr>
        <w:t>支付方式</w:t>
      </w:r>
      <w:r>
        <w:rPr>
          <w:rFonts w:hint="eastAsia" w:ascii="宋体" w:hAnsi="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bCs/>
          <w:color w:val="auto"/>
          <w:sz w:val="24"/>
        </w:rPr>
        <w:t>。</w:t>
      </w:r>
    </w:p>
    <w:p w14:paraId="42ABCB10">
      <w:pPr>
        <w:autoSpaceDE w:val="0"/>
        <w:autoSpaceDN w:val="0"/>
        <w:adjustRightInd w:val="0"/>
        <w:spacing w:line="360" w:lineRule="auto"/>
        <w:ind w:firstLine="480" w:firstLineChars="200"/>
        <w:rPr>
          <w:rFonts w:ascii="宋体" w:hAnsi="宋体"/>
          <w:bCs/>
          <w:color w:val="auto"/>
          <w:sz w:val="24"/>
        </w:rPr>
      </w:pPr>
      <w:r>
        <w:rPr>
          <w:rFonts w:hint="eastAsia" w:ascii="宋体" w:hAnsi="宋体"/>
          <w:bCs/>
          <w:color w:val="auto"/>
          <w:sz w:val="24"/>
        </w:rPr>
        <w:t>（二）</w:t>
      </w:r>
      <w:r>
        <w:rPr>
          <w:rFonts w:hint="eastAsia" w:ascii="宋体" w:hAnsi="宋体"/>
          <w:bCs/>
          <w:color w:val="auto"/>
          <w:sz w:val="24"/>
          <w:lang w:val="en-US" w:eastAsia="zh-CN"/>
        </w:rPr>
        <w:t>结算条件</w:t>
      </w:r>
      <w:r>
        <w:rPr>
          <w:rFonts w:hint="eastAsia" w:ascii="宋体" w:hAnsi="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bCs/>
          <w:color w:val="auto"/>
          <w:sz w:val="24"/>
        </w:rPr>
        <w:t>。</w:t>
      </w:r>
    </w:p>
    <w:p w14:paraId="5B3DC772">
      <w:pPr>
        <w:autoSpaceDE w:val="0"/>
        <w:autoSpaceDN w:val="0"/>
        <w:adjustRightInd w:val="0"/>
        <w:spacing w:line="360" w:lineRule="auto"/>
        <w:ind w:firstLine="480" w:firstLineChars="200"/>
        <w:rPr>
          <w:rFonts w:ascii="宋体" w:hAnsi="宋体"/>
          <w:bCs/>
          <w:color w:val="auto"/>
          <w:sz w:val="24"/>
          <w:highlight w:val="yellow"/>
        </w:rPr>
      </w:pPr>
      <w:r>
        <w:rPr>
          <w:rFonts w:hint="eastAsia" w:ascii="宋体" w:hAnsi="宋体"/>
          <w:bCs/>
          <w:color w:val="auto"/>
          <w:sz w:val="24"/>
        </w:rPr>
        <w:t>（三）</w:t>
      </w:r>
      <w:r>
        <w:rPr>
          <w:rFonts w:hint="eastAsia" w:ascii="宋体" w:hAnsi="宋体"/>
          <w:bCs/>
          <w:color w:val="auto"/>
          <w:sz w:val="24"/>
          <w:lang w:val="en-US" w:eastAsia="zh-CN"/>
        </w:rPr>
        <w:t>付款进度</w:t>
      </w:r>
      <w:r>
        <w:rPr>
          <w:rFonts w:hint="eastAsia" w:ascii="宋体" w:hAnsi="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bCs/>
          <w:color w:val="auto"/>
          <w:sz w:val="24"/>
        </w:rPr>
        <w:t>。</w:t>
      </w:r>
    </w:p>
    <w:p w14:paraId="256C0B18">
      <w:pPr>
        <w:autoSpaceDE w:val="0"/>
        <w:autoSpaceDN w:val="0"/>
        <w:adjustRightInd w:val="0"/>
        <w:snapToGrid w:val="0"/>
        <w:spacing w:line="360" w:lineRule="auto"/>
        <w:ind w:firstLine="482" w:firstLineChars="200"/>
        <w:rPr>
          <w:rFonts w:hint="eastAsia" w:ascii="宋体" w:hAnsi="宋体" w:eastAsia="宋体" w:cs="宋体"/>
          <w:b/>
          <w:bCs/>
          <w:color w:val="auto"/>
          <w:sz w:val="24"/>
          <w:lang w:val="en-US" w:eastAsia="zh-CN"/>
        </w:rPr>
      </w:pPr>
      <w:r>
        <w:rPr>
          <w:rFonts w:hint="eastAsia" w:ascii="宋体" w:hAnsi="宋体" w:cs="宋体"/>
          <w:b/>
          <w:bCs/>
          <w:color w:val="auto"/>
          <w:sz w:val="24"/>
        </w:rPr>
        <w:t>四、</w:t>
      </w:r>
      <w:r>
        <w:rPr>
          <w:rFonts w:hint="eastAsia" w:ascii="宋体" w:hAnsi="宋体" w:cs="宋体"/>
          <w:b/>
          <w:bCs/>
          <w:color w:val="auto"/>
          <w:sz w:val="24"/>
          <w:lang w:val="en-US" w:eastAsia="zh-CN"/>
        </w:rPr>
        <w:t>验收</w:t>
      </w:r>
    </w:p>
    <w:p w14:paraId="3EC0DA50">
      <w:pPr>
        <w:autoSpaceDE w:val="0"/>
        <w:autoSpaceDN w:val="0"/>
        <w:adjustRightInd w:val="0"/>
        <w:spacing w:line="360" w:lineRule="auto"/>
        <w:ind w:firstLine="480" w:firstLineChars="200"/>
        <w:rPr>
          <w:rFonts w:hint="eastAsia" w:ascii="宋体" w:hAnsi="宋体"/>
          <w:bCs/>
          <w:color w:val="auto"/>
          <w:sz w:val="24"/>
        </w:rPr>
      </w:pPr>
      <w:r>
        <w:rPr>
          <w:rFonts w:hint="eastAsia" w:ascii="宋体" w:hAnsi="宋体"/>
          <w:bCs/>
          <w:color w:val="auto"/>
          <w:sz w:val="24"/>
        </w:rPr>
        <w:t>（一）</w:t>
      </w:r>
      <w:r>
        <w:rPr>
          <w:rFonts w:hint="eastAsia" w:ascii="宋体" w:hAnsi="宋体"/>
          <w:bCs/>
          <w:color w:val="auto"/>
          <w:sz w:val="24"/>
          <w:lang w:val="en-US" w:eastAsia="zh-CN"/>
        </w:rPr>
        <w:t>乙方</w:t>
      </w:r>
      <w:r>
        <w:rPr>
          <w:rFonts w:hint="eastAsia" w:ascii="宋体" w:hAnsi="宋体"/>
          <w:bCs/>
          <w:color w:val="auto"/>
          <w:sz w:val="24"/>
        </w:rPr>
        <w:t>配合</w:t>
      </w:r>
      <w:r>
        <w:rPr>
          <w:rFonts w:hint="eastAsia" w:ascii="宋体" w:hAnsi="宋体"/>
          <w:bCs/>
          <w:color w:val="auto"/>
          <w:sz w:val="24"/>
          <w:lang w:val="en-US" w:eastAsia="zh-CN"/>
        </w:rPr>
        <w:t>甲方</w:t>
      </w:r>
      <w:r>
        <w:rPr>
          <w:rFonts w:hint="eastAsia" w:ascii="宋体" w:hAnsi="宋体"/>
          <w:bCs/>
          <w:color w:val="auto"/>
          <w:sz w:val="24"/>
        </w:rPr>
        <w:t>验收。</w:t>
      </w:r>
    </w:p>
    <w:p w14:paraId="0B06A57F">
      <w:pPr>
        <w:autoSpaceDE w:val="0"/>
        <w:autoSpaceDN w:val="0"/>
        <w:adjustRightInd w:val="0"/>
        <w:spacing w:line="348" w:lineRule="auto"/>
        <w:ind w:firstLine="480" w:firstLineChars="200"/>
        <w:rPr>
          <w:rFonts w:hint="eastAsia" w:ascii="宋体" w:hAnsi="宋体"/>
          <w:bCs/>
          <w:color w:val="auto"/>
          <w:sz w:val="24"/>
        </w:rPr>
      </w:pPr>
      <w:r>
        <w:rPr>
          <w:rFonts w:hint="eastAsia" w:ascii="宋体" w:hAnsi="宋体"/>
          <w:bCs/>
          <w:color w:val="auto"/>
          <w:sz w:val="24"/>
        </w:rPr>
        <w:t>（二）验收</w:t>
      </w:r>
      <w:r>
        <w:rPr>
          <w:rFonts w:hint="eastAsia" w:ascii="宋体" w:hAnsi="宋体"/>
          <w:bCs/>
          <w:color w:val="auto"/>
          <w:sz w:val="24"/>
          <w:lang w:val="en-US" w:eastAsia="zh-CN"/>
        </w:rPr>
        <w:t>标准</w:t>
      </w:r>
      <w:r>
        <w:rPr>
          <w:rFonts w:hint="eastAsia" w:ascii="宋体" w:hAnsi="宋体"/>
          <w:bCs/>
          <w:color w:val="auto"/>
          <w:sz w:val="24"/>
        </w:rPr>
        <w:t>：1.由采购人自行组织相关人员成立验收小组对项目进行一次性验收，依据竞争性磋商文件、竞争性磋商响应文件及政府采购合同，结合考核情况和服务效果进行验收，形成验收报告。 2.其他未尽事宜应严格按照《财政部关于进一步加强政府采购需求和履约验收管理的指导意见》(财库(2016) 205号)的要求进行。</w:t>
      </w:r>
    </w:p>
    <w:p w14:paraId="7B168301">
      <w:pPr>
        <w:autoSpaceDE w:val="0"/>
        <w:autoSpaceDN w:val="0"/>
        <w:adjustRightInd w:val="0"/>
        <w:spacing w:line="348" w:lineRule="auto"/>
        <w:ind w:firstLine="480" w:firstLineChars="200"/>
        <w:rPr>
          <w:rFonts w:hint="eastAsia" w:ascii="宋体" w:hAnsi="宋体" w:cs="宋体"/>
          <w:b w:val="0"/>
          <w:bCs/>
          <w:color w:val="auto"/>
          <w:sz w:val="24"/>
        </w:rPr>
      </w:pPr>
      <w:r>
        <w:rPr>
          <w:rFonts w:hint="eastAsia" w:ascii="宋体" w:hAnsi="宋体"/>
          <w:bCs/>
          <w:color w:val="auto"/>
          <w:sz w:val="24"/>
        </w:rPr>
        <w:t>（三）</w:t>
      </w:r>
      <w:r>
        <w:rPr>
          <w:rFonts w:hint="eastAsia" w:ascii="宋体" w:hAnsi="宋体" w:cs="宋体"/>
          <w:b w:val="0"/>
          <w:bCs/>
          <w:color w:val="auto"/>
          <w:sz w:val="24"/>
        </w:rPr>
        <w:t>验收依据：</w:t>
      </w:r>
    </w:p>
    <w:p w14:paraId="6FF08BAC">
      <w:pPr>
        <w:autoSpaceDE w:val="0"/>
        <w:autoSpaceDN w:val="0"/>
        <w:adjustRightInd w:val="0"/>
        <w:spacing w:line="348" w:lineRule="auto"/>
        <w:ind w:firstLine="480" w:firstLineChars="200"/>
        <w:rPr>
          <w:rFonts w:hint="eastAsia" w:ascii="宋体" w:hAnsi="宋体" w:cs="宋体"/>
          <w:b w:val="0"/>
          <w:bCs/>
          <w:color w:val="auto"/>
          <w:sz w:val="24"/>
        </w:rPr>
      </w:pPr>
      <w:r>
        <w:rPr>
          <w:rFonts w:hint="eastAsia" w:ascii="宋体" w:hAnsi="宋体" w:cs="宋体"/>
          <w:b w:val="0"/>
          <w:bCs/>
          <w:color w:val="auto"/>
          <w:sz w:val="24"/>
        </w:rPr>
        <w:t>1.本合同及附加文本；</w:t>
      </w:r>
    </w:p>
    <w:p w14:paraId="3B74BCA6">
      <w:pPr>
        <w:autoSpaceDE w:val="0"/>
        <w:autoSpaceDN w:val="0"/>
        <w:adjustRightInd w:val="0"/>
        <w:spacing w:line="348" w:lineRule="auto"/>
        <w:ind w:firstLine="480" w:firstLineChars="200"/>
        <w:rPr>
          <w:rFonts w:hint="eastAsia"/>
          <w:color w:val="auto"/>
        </w:rPr>
      </w:pPr>
      <w:r>
        <w:rPr>
          <w:rFonts w:hint="eastAsia" w:ascii="宋体" w:hAnsi="宋体" w:cs="宋体"/>
          <w:b w:val="0"/>
          <w:bCs/>
          <w:color w:val="auto"/>
          <w:sz w:val="24"/>
        </w:rPr>
        <w:t>2.竞争性</w:t>
      </w:r>
      <w:r>
        <w:rPr>
          <w:rFonts w:hint="eastAsia" w:ascii="宋体" w:hAnsi="宋体" w:cs="宋体"/>
          <w:b w:val="0"/>
          <w:bCs/>
          <w:color w:val="auto"/>
          <w:sz w:val="24"/>
          <w:lang w:val="en-US" w:eastAsia="zh-CN"/>
        </w:rPr>
        <w:t>磋商</w:t>
      </w:r>
      <w:r>
        <w:rPr>
          <w:rFonts w:hint="eastAsia" w:ascii="宋体" w:hAnsi="宋体" w:cs="宋体"/>
          <w:b w:val="0"/>
          <w:bCs/>
          <w:color w:val="auto"/>
          <w:sz w:val="24"/>
        </w:rPr>
        <w:t>文件、成交供应商的</w:t>
      </w:r>
      <w:r>
        <w:rPr>
          <w:rFonts w:hint="eastAsia" w:ascii="宋体" w:hAnsi="宋体" w:cs="宋体"/>
          <w:b w:val="0"/>
          <w:bCs/>
          <w:color w:val="auto"/>
          <w:sz w:val="24"/>
          <w:lang w:val="en-US" w:eastAsia="zh-CN"/>
        </w:rPr>
        <w:t>磋商</w:t>
      </w:r>
      <w:r>
        <w:rPr>
          <w:rFonts w:hint="eastAsia" w:ascii="宋体" w:hAnsi="宋体" w:cs="宋体"/>
          <w:b w:val="0"/>
          <w:bCs/>
          <w:color w:val="auto"/>
          <w:sz w:val="24"/>
        </w:rPr>
        <w:t>响应文件及澄清函、承诺函；</w:t>
      </w:r>
    </w:p>
    <w:p w14:paraId="786130D7">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五</w:t>
      </w:r>
      <w:r>
        <w:rPr>
          <w:rFonts w:hint="eastAsia" w:ascii="宋体" w:hAnsi="宋体" w:cs="宋体"/>
          <w:b/>
          <w:bCs/>
          <w:color w:val="auto"/>
          <w:sz w:val="24"/>
        </w:rPr>
        <w:t>、双方的权利和义务</w:t>
      </w:r>
    </w:p>
    <w:p w14:paraId="2AAA8107">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（一）甲方的权利与义务</w:t>
      </w:r>
    </w:p>
    <w:p w14:paraId="14CFAAFB">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1.甲方负责配合本次项目服务工作；</w:t>
      </w:r>
    </w:p>
    <w:p w14:paraId="3E1F45C8">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2.甲方应按本合同的约定向乙方支付合同价款；</w:t>
      </w:r>
    </w:p>
    <w:p w14:paraId="115A74F9">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3.甲方根据需要对乙方提供的服务方案进行审核，提供建议及意见，确定最终实施的运营服务方案，以便乙方遵照执行；</w:t>
      </w:r>
    </w:p>
    <w:p w14:paraId="76A686EF">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4.甲方有权对乙方的工作进行监督和考核。</w:t>
      </w:r>
    </w:p>
    <w:p w14:paraId="7632619B">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（二）乙方的权利与义务</w:t>
      </w:r>
    </w:p>
    <w:p w14:paraId="1F54FB79">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1.乙方的工作人员必须严格遵守甲方的规章制度，以良好的形象和积极的工作态度，按甲方要求开展工作；</w:t>
      </w:r>
    </w:p>
    <w:p w14:paraId="4B48F098">
      <w:pPr>
        <w:autoSpaceDE w:val="0"/>
        <w:autoSpaceDN w:val="0"/>
        <w:adjustRightInd w:val="0"/>
        <w:snapToGrid w:val="0"/>
        <w:spacing w:line="360" w:lineRule="auto"/>
        <w:ind w:firstLine="480" w:firstLineChars="200"/>
        <w:rPr>
          <w:rFonts w:hint="eastAsia" w:ascii="宋体" w:hAnsi="宋体" w:cs="宋体"/>
          <w:bCs/>
          <w:color w:val="auto"/>
          <w:sz w:val="24"/>
        </w:rPr>
      </w:pPr>
      <w:bookmarkStart w:id="1" w:name="_GoBack"/>
      <w:bookmarkEnd w:id="1"/>
      <w:r>
        <w:rPr>
          <w:rFonts w:hint="eastAsia" w:ascii="宋体" w:hAnsi="宋体" w:cs="宋体"/>
          <w:bCs/>
          <w:color w:val="auto"/>
          <w:sz w:val="24"/>
        </w:rPr>
        <w:t>2.乙方应服从甲方统筹管理并按流程开展工作；</w:t>
      </w:r>
    </w:p>
    <w:p w14:paraId="1DA03BA8">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bCs/>
          <w:color w:val="auto"/>
          <w:sz w:val="24"/>
        </w:rPr>
        <w:t>3.乙方在服务期间发布的任何涉及有关甲方的相关信息，需经甲方确认无误后方可公布。</w:t>
      </w:r>
    </w:p>
    <w:p w14:paraId="49DCA281">
      <w:pPr>
        <w:autoSpaceDE w:val="0"/>
        <w:autoSpaceDN w:val="0"/>
        <w:adjustRightInd w:val="0"/>
        <w:snapToGrid w:val="0"/>
        <w:spacing w:line="360" w:lineRule="auto"/>
        <w:ind w:firstLine="482" w:firstLineChars="200"/>
        <w:rPr>
          <w:rFonts w:hint="eastAsia" w:ascii="宋体" w:hAnsi="宋体" w:cs="宋体"/>
          <w:b/>
          <w:color w:val="auto"/>
          <w:sz w:val="24"/>
        </w:rPr>
      </w:pPr>
      <w:r>
        <w:rPr>
          <w:rFonts w:hint="eastAsia" w:ascii="宋体" w:hAnsi="宋体" w:cs="宋体"/>
          <w:b/>
          <w:color w:val="auto"/>
          <w:sz w:val="24"/>
          <w:lang w:val="en-US" w:eastAsia="zh-CN"/>
        </w:rPr>
        <w:t>六</w:t>
      </w:r>
      <w:r>
        <w:rPr>
          <w:rFonts w:hint="eastAsia" w:ascii="宋体" w:hAnsi="宋体" w:cs="宋体"/>
          <w:b/>
          <w:color w:val="auto"/>
          <w:sz w:val="24"/>
        </w:rPr>
        <w:t>、服务质量保证</w:t>
      </w:r>
    </w:p>
    <w:p w14:paraId="5DECCACE">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（一）乙方需派一名项目负责人，直接与甲方沟通，项目负责人接收甲方提出的问题与要求，并及时反馈给工作组，解决在项目实施过程中遇到的问题。</w:t>
      </w:r>
    </w:p>
    <w:p w14:paraId="711434B0">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（二）项目在实施过程中会出现不可预料的需求变更，乙方需积极配合甲方的需求变更，并按照变更后的需求继续进行方案实施。</w:t>
      </w:r>
    </w:p>
    <w:p w14:paraId="67D2CED3">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（三）乙方需提交所有实施方案流程及说明文档。</w:t>
      </w:r>
    </w:p>
    <w:p w14:paraId="67213CCB">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七</w:t>
      </w:r>
      <w:r>
        <w:rPr>
          <w:rFonts w:hint="eastAsia" w:ascii="宋体" w:hAnsi="宋体" w:cs="宋体"/>
          <w:b/>
          <w:bCs/>
          <w:color w:val="auto"/>
          <w:sz w:val="24"/>
        </w:rPr>
        <w:t>、知识产权</w:t>
      </w:r>
    </w:p>
    <w:p w14:paraId="743A6460">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（一）本项目所涉及到的所有成果的知识产权归甲方所有。 </w:t>
      </w:r>
    </w:p>
    <w:p w14:paraId="6E0CF01F">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（二）乙方无论出于任何目的如在其他地方使用该成果，必须经甲方同意方可使用。否则，贵甲方有权要求终止涉及到该知识产权的任何使用活动并保留追究卖方相应的法律责任的权利。 </w:t>
      </w:r>
    </w:p>
    <w:p w14:paraId="1D19E30E">
      <w:pPr>
        <w:autoSpaceDE w:val="0"/>
        <w:autoSpaceDN w:val="0"/>
        <w:adjustRightInd w:val="0"/>
        <w:snapToGrid w:val="0"/>
        <w:spacing w:line="360" w:lineRule="auto"/>
        <w:ind w:firstLine="480" w:firstLineChars="200"/>
        <w:rPr>
          <w:rFonts w:hint="eastAsia" w:ascii="宋体" w:hAnsi="宋体" w:cs="宋体"/>
          <w:color w:val="auto"/>
          <w:spacing w:val="-17"/>
          <w:sz w:val="24"/>
        </w:rPr>
      </w:pPr>
      <w:r>
        <w:rPr>
          <w:rFonts w:hint="eastAsia" w:ascii="宋体" w:hAnsi="宋体" w:cs="宋体"/>
          <w:color w:val="auto"/>
          <w:sz w:val="24"/>
        </w:rPr>
        <w:t>（三）乙方为执行本合同而提供的技术资料使用权归甲方所有。</w:t>
      </w:r>
    </w:p>
    <w:p w14:paraId="713742B1">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八</w:t>
      </w:r>
      <w:r>
        <w:rPr>
          <w:rFonts w:hint="eastAsia" w:ascii="宋体" w:hAnsi="宋体" w:cs="宋体"/>
          <w:b/>
          <w:bCs/>
          <w:color w:val="auto"/>
          <w:sz w:val="24"/>
        </w:rPr>
        <w:t>、其它事项</w:t>
      </w:r>
    </w:p>
    <w:p w14:paraId="0442829E">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（一）乙方不得转让、分包给其它单位或个人。</w:t>
      </w:r>
    </w:p>
    <w:p w14:paraId="708FB61D">
      <w:pPr>
        <w:autoSpaceDE w:val="0"/>
        <w:autoSpaceDN w:val="0"/>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（二）乙方的磋商响应文件和承诺等内容将列入合同。</w:t>
      </w:r>
    </w:p>
    <w:p w14:paraId="559708B5">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九</w:t>
      </w:r>
      <w:r>
        <w:rPr>
          <w:rFonts w:hint="eastAsia" w:ascii="宋体" w:hAnsi="宋体" w:cs="宋体"/>
          <w:b/>
          <w:bCs/>
          <w:color w:val="auto"/>
          <w:sz w:val="24"/>
        </w:rPr>
        <w:t>、违约责任</w:t>
      </w:r>
    </w:p>
    <w:p w14:paraId="0F2A475B">
      <w:pPr>
        <w:autoSpaceDE w:val="0"/>
        <w:autoSpaceDN w:val="0"/>
        <w:adjustRightInd w:val="0"/>
        <w:snapToGrid w:val="0"/>
        <w:spacing w:line="360" w:lineRule="auto"/>
        <w:ind w:left="479" w:leftChars="228" w:firstLine="0" w:firstLineChars="0"/>
        <w:rPr>
          <w:rFonts w:hint="eastAsia" w:ascii="宋体" w:hAnsi="宋体" w:cs="宋体"/>
          <w:b w:val="0"/>
          <w:bCs w:val="0"/>
          <w:color w:val="auto"/>
          <w:sz w:val="24"/>
          <w:lang w:val="en-US" w:eastAsia="zh-CN"/>
        </w:rPr>
      </w:pPr>
      <w:r>
        <w:rPr>
          <w:rFonts w:hint="eastAsia" w:ascii="宋体" w:hAnsi="宋体" w:cs="宋体"/>
          <w:color w:val="auto"/>
          <w:sz w:val="24"/>
        </w:rPr>
        <w:t>（一）</w:t>
      </w:r>
      <w:r>
        <w:rPr>
          <w:rFonts w:hint="eastAsia" w:ascii="宋体" w:hAnsi="宋体" w:cs="宋体"/>
          <w:b w:val="0"/>
          <w:bCs w:val="0"/>
          <w:color w:val="auto"/>
          <w:sz w:val="24"/>
          <w:lang w:val="en-US" w:eastAsia="zh-CN"/>
        </w:rPr>
        <w:t>按《中华人民共和国民法典》中的相关条款执行。</w:t>
      </w:r>
      <w:r>
        <w:rPr>
          <w:rFonts w:hint="eastAsia" w:ascii="宋体" w:hAnsi="宋体" w:cs="宋体"/>
          <w:b w:val="0"/>
          <w:bCs w:val="0"/>
          <w:color w:val="auto"/>
          <w:sz w:val="24"/>
          <w:lang w:val="en-US" w:eastAsia="zh-CN"/>
        </w:rPr>
        <w:br w:type="textWrapping"/>
      </w:r>
      <w:r>
        <w:rPr>
          <w:rFonts w:hint="eastAsia" w:ascii="宋体" w:hAnsi="宋体" w:cs="宋体"/>
          <w:color w:val="auto"/>
          <w:sz w:val="24"/>
        </w:rPr>
        <w:t>（二）</w:t>
      </w:r>
      <w:r>
        <w:rPr>
          <w:rFonts w:hint="eastAsia" w:ascii="宋体" w:hAnsi="宋体" w:cs="宋体"/>
          <w:b w:val="0"/>
          <w:bCs w:val="0"/>
          <w:color w:val="auto"/>
          <w:sz w:val="24"/>
          <w:lang w:val="en-US" w:eastAsia="zh-CN"/>
        </w:rPr>
        <w:t>未按合同要求提供服务或服务质量不能满足技术要求，采购人有权终止合同，并对供方违约行为进行追究，同时按《中华人民共和国政府采购法》的有关规定进行处罚。</w:t>
      </w:r>
    </w:p>
    <w:p w14:paraId="2FD3B1B8">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lang w:val="en-US" w:eastAsia="zh-CN"/>
        </w:rPr>
        <w:t>十</w:t>
      </w:r>
      <w:r>
        <w:rPr>
          <w:rFonts w:hint="eastAsia" w:ascii="宋体" w:hAnsi="宋体" w:cs="宋体"/>
          <w:b/>
          <w:bCs/>
          <w:color w:val="auto"/>
          <w:sz w:val="24"/>
        </w:rPr>
        <w:t>、合同争议解决的方式</w:t>
      </w:r>
    </w:p>
    <w:p w14:paraId="36078512">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本合同在履行过程中发生的争议，由甲、乙双方当事人协商解决，协商不成的按下列第</w:t>
      </w:r>
      <w:r>
        <w:rPr>
          <w:rFonts w:hint="eastAsia" w:ascii="宋体" w:hAnsi="宋体" w:cs="宋体"/>
          <w:bCs/>
          <w:color w:val="auto"/>
          <w:sz w:val="24"/>
          <w:u w:val="single"/>
        </w:rPr>
        <w:t xml:space="preserve">      </w:t>
      </w:r>
      <w:r>
        <w:rPr>
          <w:rFonts w:hint="eastAsia" w:ascii="宋体" w:hAnsi="宋体" w:cs="宋体"/>
          <w:bCs/>
          <w:color w:val="auto"/>
          <w:sz w:val="24"/>
        </w:rPr>
        <w:t>种方式解决：</w:t>
      </w:r>
    </w:p>
    <w:p w14:paraId="584FB4F9">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（一）提交</w:t>
      </w:r>
      <w:r>
        <w:rPr>
          <w:rFonts w:hint="eastAsia" w:ascii="宋体" w:hAnsi="宋体" w:cs="宋体"/>
          <w:bCs/>
          <w:color w:val="auto"/>
          <w:sz w:val="24"/>
          <w:lang w:eastAsia="zh-CN"/>
        </w:rPr>
        <w:t>西安</w:t>
      </w:r>
      <w:r>
        <w:rPr>
          <w:rFonts w:hint="eastAsia" w:ascii="宋体" w:hAnsi="宋体" w:cs="宋体"/>
          <w:bCs/>
          <w:color w:val="auto"/>
          <w:sz w:val="24"/>
        </w:rPr>
        <w:t>市仲裁委员会仲裁；</w:t>
      </w:r>
    </w:p>
    <w:p w14:paraId="7BDAF5AC">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（二）依法向甲方所在地人民法院起诉。</w:t>
      </w:r>
    </w:p>
    <w:p w14:paraId="57EBD924">
      <w:pPr>
        <w:autoSpaceDE w:val="0"/>
        <w:autoSpaceDN w:val="0"/>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十</w:t>
      </w:r>
      <w:r>
        <w:rPr>
          <w:rFonts w:hint="eastAsia" w:ascii="宋体" w:hAnsi="宋体" w:cs="宋体"/>
          <w:b/>
          <w:bCs/>
          <w:color w:val="auto"/>
          <w:sz w:val="24"/>
          <w:lang w:val="en-US" w:eastAsia="zh-CN"/>
        </w:rPr>
        <w:t>一</w:t>
      </w:r>
      <w:r>
        <w:rPr>
          <w:rFonts w:hint="eastAsia" w:ascii="宋体" w:hAnsi="宋体" w:cs="宋体"/>
          <w:b/>
          <w:bCs/>
          <w:color w:val="auto"/>
          <w:sz w:val="24"/>
        </w:rPr>
        <w:t>、合同生效</w:t>
      </w:r>
    </w:p>
    <w:p w14:paraId="1FBDE805">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（一）本合同须经甲、乙双方的法定代表人（授权代理人）在合同书上</w:t>
      </w:r>
      <w:r>
        <w:rPr>
          <w:rFonts w:hint="eastAsia" w:ascii="宋体" w:hAnsi="宋体" w:cs="宋体"/>
          <w:bCs/>
          <w:color w:val="auto"/>
          <w:sz w:val="24"/>
          <w:lang w:eastAsia="zh-CN"/>
        </w:rPr>
        <w:t>签字或签章</w:t>
      </w:r>
      <w:r>
        <w:rPr>
          <w:rFonts w:hint="eastAsia" w:ascii="宋体" w:hAnsi="宋体" w:cs="宋体"/>
          <w:bCs/>
          <w:color w:val="auto"/>
          <w:sz w:val="24"/>
        </w:rPr>
        <w:t>并加盖本单位公章后正式生效。</w:t>
      </w:r>
    </w:p>
    <w:p w14:paraId="61E5E1D3">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（二）合同生效后，甲、乙双方须严格执行本合同条款的规定，全面履行合同，违者按《中华人民共和国</w:t>
      </w:r>
      <w:r>
        <w:rPr>
          <w:rFonts w:hint="eastAsia" w:hAnsi="宋体" w:cs="宋体"/>
          <w:bCs/>
          <w:color w:val="auto"/>
          <w:sz w:val="24"/>
          <w:lang w:val="en-US" w:eastAsia="zh-CN"/>
        </w:rPr>
        <w:t>民法典</w:t>
      </w:r>
      <w:r>
        <w:rPr>
          <w:rFonts w:hint="eastAsia" w:ascii="宋体" w:hAnsi="宋体" w:cs="宋体"/>
          <w:bCs/>
          <w:color w:val="auto"/>
          <w:sz w:val="24"/>
        </w:rPr>
        <w:t>》的有关规定承担相应责任。</w:t>
      </w:r>
    </w:p>
    <w:p w14:paraId="63D6D4E5">
      <w:pPr>
        <w:autoSpaceDE w:val="0"/>
        <w:autoSpaceDN w:val="0"/>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（三）本合同一式</w:t>
      </w:r>
      <w:r>
        <w:rPr>
          <w:rFonts w:hint="eastAsia" w:ascii="宋体" w:hAnsi="宋体" w:cs="宋体"/>
          <w:bCs/>
          <w:color w:val="auto"/>
          <w:sz w:val="24"/>
          <w:u w:val="single"/>
        </w:rPr>
        <w:t xml:space="preserve">   </w:t>
      </w:r>
      <w:r>
        <w:rPr>
          <w:rFonts w:hint="eastAsia" w:ascii="宋体" w:hAnsi="宋体" w:cs="宋体"/>
          <w:bCs/>
          <w:color w:val="auto"/>
          <w:sz w:val="24"/>
        </w:rPr>
        <w:t>份，甲乙双方各执</w:t>
      </w:r>
      <w:r>
        <w:rPr>
          <w:rFonts w:hint="eastAsia" w:ascii="宋体" w:hAnsi="宋体" w:cs="宋体"/>
          <w:bCs/>
          <w:color w:val="auto"/>
          <w:sz w:val="24"/>
          <w:u w:val="single"/>
        </w:rPr>
        <w:t xml:space="preserve">    </w:t>
      </w:r>
      <w:r>
        <w:rPr>
          <w:rFonts w:hint="eastAsia" w:ascii="宋体" w:hAnsi="宋体" w:cs="宋体"/>
          <w:bCs/>
          <w:color w:val="auto"/>
          <w:sz w:val="24"/>
        </w:rPr>
        <w:t>份。</w:t>
      </w:r>
    </w:p>
    <w:p w14:paraId="111F5C8F">
      <w:pPr>
        <w:autoSpaceDE w:val="0"/>
        <w:autoSpaceDN w:val="0"/>
        <w:adjustRightInd w:val="0"/>
        <w:spacing w:line="360" w:lineRule="auto"/>
        <w:ind w:firstLine="480" w:firstLineChars="200"/>
        <w:rPr>
          <w:rFonts w:hint="eastAsia" w:ascii="宋体" w:hAnsi="宋体" w:cs="宋体"/>
          <w:bCs/>
          <w:color w:val="auto"/>
          <w:sz w:val="24"/>
          <w:szCs w:val="24"/>
        </w:rPr>
      </w:pPr>
      <w:r>
        <w:rPr>
          <w:rFonts w:hint="eastAsia" w:ascii="宋体" w:hAnsi="宋体" w:cs="宋体"/>
          <w:bCs/>
          <w:color w:val="auto"/>
          <w:sz w:val="24"/>
          <w:szCs w:val="24"/>
        </w:rPr>
        <w:t>（四）本合同如有未尽事宜，甲、乙双方协商解决</w:t>
      </w:r>
      <w:r>
        <w:rPr>
          <w:rFonts w:hint="eastAsia" w:ascii="宋体" w:hAnsi="宋体" w:cs="宋体"/>
          <w:bCs/>
          <w:color w:val="auto"/>
          <w:sz w:val="28"/>
          <w:szCs w:val="28"/>
        </w:rPr>
        <w:t>。</w:t>
      </w:r>
      <w:r>
        <w:rPr>
          <w:rFonts w:hint="eastAsia" w:ascii="宋体" w:hAnsi="宋体" w:cs="宋体"/>
          <w:bCs/>
          <w:color w:val="auto"/>
          <w:sz w:val="24"/>
          <w:highlight w:val="none"/>
        </w:rPr>
        <w:t xml:space="preserve"> </w:t>
      </w:r>
    </w:p>
    <w:tbl>
      <w:tblPr>
        <w:tblStyle w:val="10"/>
        <w:tblW w:w="0" w:type="auto"/>
        <w:jc w:val="center"/>
        <w:tblLayout w:type="fixed"/>
        <w:tblCellMar>
          <w:top w:w="0" w:type="dxa"/>
          <w:left w:w="108" w:type="dxa"/>
          <w:bottom w:w="0" w:type="dxa"/>
          <w:right w:w="108" w:type="dxa"/>
        </w:tblCellMar>
      </w:tblPr>
      <w:tblGrid>
        <w:gridCol w:w="4199"/>
        <w:gridCol w:w="4200"/>
      </w:tblGrid>
      <w:tr w14:paraId="12E61F93">
        <w:tblPrEx>
          <w:tblCellMar>
            <w:top w:w="0" w:type="dxa"/>
            <w:left w:w="108" w:type="dxa"/>
            <w:bottom w:w="0" w:type="dxa"/>
            <w:right w:w="108" w:type="dxa"/>
          </w:tblCellMar>
        </w:tblPrEx>
        <w:trPr>
          <w:trHeight w:val="541" w:hRule="exact"/>
          <w:jc w:val="center"/>
        </w:trPr>
        <w:tc>
          <w:tcPr>
            <w:tcW w:w="4199" w:type="dxa"/>
            <w:noWrap w:val="0"/>
            <w:vAlign w:val="center"/>
          </w:tcPr>
          <w:p w14:paraId="57BDB201">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甲  方</w:t>
            </w:r>
          </w:p>
        </w:tc>
        <w:tc>
          <w:tcPr>
            <w:tcW w:w="4200" w:type="dxa"/>
            <w:noWrap w:val="0"/>
            <w:vAlign w:val="center"/>
          </w:tcPr>
          <w:p w14:paraId="24A2366B">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乙  方</w:t>
            </w:r>
          </w:p>
        </w:tc>
      </w:tr>
      <w:tr w14:paraId="03A5FFD9">
        <w:tblPrEx>
          <w:tblCellMar>
            <w:top w:w="0" w:type="dxa"/>
            <w:left w:w="108" w:type="dxa"/>
            <w:bottom w:w="0" w:type="dxa"/>
            <w:right w:w="108" w:type="dxa"/>
          </w:tblCellMar>
        </w:tblPrEx>
        <w:trPr>
          <w:trHeight w:val="541" w:hRule="exact"/>
          <w:jc w:val="center"/>
        </w:trPr>
        <w:tc>
          <w:tcPr>
            <w:tcW w:w="4199" w:type="dxa"/>
            <w:noWrap w:val="0"/>
            <w:vAlign w:val="center"/>
          </w:tcPr>
          <w:p w14:paraId="6B04383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（盖章）</w:t>
            </w:r>
          </w:p>
        </w:tc>
        <w:tc>
          <w:tcPr>
            <w:tcW w:w="4200" w:type="dxa"/>
            <w:noWrap w:val="0"/>
            <w:vAlign w:val="center"/>
          </w:tcPr>
          <w:p w14:paraId="7F737D5B">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（盖章）</w:t>
            </w:r>
          </w:p>
        </w:tc>
      </w:tr>
      <w:tr w14:paraId="52ED6524">
        <w:tblPrEx>
          <w:tblCellMar>
            <w:top w:w="0" w:type="dxa"/>
            <w:left w:w="108" w:type="dxa"/>
            <w:bottom w:w="0" w:type="dxa"/>
            <w:right w:w="108" w:type="dxa"/>
          </w:tblCellMar>
        </w:tblPrEx>
        <w:trPr>
          <w:trHeight w:val="541" w:hRule="exact"/>
          <w:jc w:val="center"/>
        </w:trPr>
        <w:tc>
          <w:tcPr>
            <w:tcW w:w="4199" w:type="dxa"/>
            <w:noWrap w:val="0"/>
            <w:vAlign w:val="center"/>
          </w:tcPr>
          <w:p w14:paraId="18D80FF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 xml:space="preserve">地址： </w:t>
            </w:r>
          </w:p>
        </w:tc>
        <w:tc>
          <w:tcPr>
            <w:tcW w:w="4200" w:type="dxa"/>
            <w:noWrap w:val="0"/>
            <w:vAlign w:val="center"/>
          </w:tcPr>
          <w:p w14:paraId="43B3F82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地址：</w:t>
            </w:r>
          </w:p>
        </w:tc>
      </w:tr>
      <w:tr w14:paraId="0E0C3D2C">
        <w:tblPrEx>
          <w:tblCellMar>
            <w:top w:w="0" w:type="dxa"/>
            <w:left w:w="108" w:type="dxa"/>
            <w:bottom w:w="0" w:type="dxa"/>
            <w:right w:w="108" w:type="dxa"/>
          </w:tblCellMar>
        </w:tblPrEx>
        <w:trPr>
          <w:trHeight w:val="541" w:hRule="exact"/>
          <w:jc w:val="center"/>
        </w:trPr>
        <w:tc>
          <w:tcPr>
            <w:tcW w:w="4199" w:type="dxa"/>
            <w:noWrap w:val="0"/>
            <w:vAlign w:val="center"/>
          </w:tcPr>
          <w:p w14:paraId="67173EA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邮编：</w:t>
            </w:r>
          </w:p>
        </w:tc>
        <w:tc>
          <w:tcPr>
            <w:tcW w:w="4200" w:type="dxa"/>
            <w:noWrap w:val="0"/>
            <w:vAlign w:val="center"/>
          </w:tcPr>
          <w:p w14:paraId="5EB43FB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邮编：</w:t>
            </w:r>
          </w:p>
        </w:tc>
      </w:tr>
      <w:tr w14:paraId="487D13BC">
        <w:tblPrEx>
          <w:tblCellMar>
            <w:top w:w="0" w:type="dxa"/>
            <w:left w:w="108" w:type="dxa"/>
            <w:bottom w:w="0" w:type="dxa"/>
            <w:right w:w="108" w:type="dxa"/>
          </w:tblCellMar>
        </w:tblPrEx>
        <w:trPr>
          <w:trHeight w:val="541" w:hRule="exact"/>
          <w:jc w:val="center"/>
        </w:trPr>
        <w:tc>
          <w:tcPr>
            <w:tcW w:w="4199" w:type="dxa"/>
            <w:noWrap w:val="0"/>
            <w:vAlign w:val="center"/>
          </w:tcPr>
          <w:p w14:paraId="42D73D7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 xml:space="preserve">法定代表人： </w:t>
            </w:r>
          </w:p>
        </w:tc>
        <w:tc>
          <w:tcPr>
            <w:tcW w:w="4200" w:type="dxa"/>
            <w:noWrap w:val="0"/>
            <w:vAlign w:val="center"/>
          </w:tcPr>
          <w:p w14:paraId="262654E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法定代表人：</w:t>
            </w:r>
          </w:p>
        </w:tc>
      </w:tr>
      <w:tr w14:paraId="4E5327AC">
        <w:tblPrEx>
          <w:tblCellMar>
            <w:top w:w="0" w:type="dxa"/>
            <w:left w:w="108" w:type="dxa"/>
            <w:bottom w:w="0" w:type="dxa"/>
            <w:right w:w="108" w:type="dxa"/>
          </w:tblCellMar>
        </w:tblPrEx>
        <w:trPr>
          <w:trHeight w:val="541" w:hRule="exact"/>
          <w:jc w:val="center"/>
        </w:trPr>
        <w:tc>
          <w:tcPr>
            <w:tcW w:w="4199" w:type="dxa"/>
            <w:noWrap w:val="0"/>
            <w:vAlign w:val="center"/>
          </w:tcPr>
          <w:p w14:paraId="0559038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被授权代表：</w:t>
            </w:r>
          </w:p>
        </w:tc>
        <w:tc>
          <w:tcPr>
            <w:tcW w:w="4200" w:type="dxa"/>
            <w:noWrap w:val="0"/>
            <w:vAlign w:val="center"/>
          </w:tcPr>
          <w:p w14:paraId="6A29DF3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被授权代表：</w:t>
            </w:r>
          </w:p>
        </w:tc>
      </w:tr>
      <w:tr w14:paraId="51C7F69B">
        <w:tblPrEx>
          <w:tblCellMar>
            <w:top w:w="0" w:type="dxa"/>
            <w:left w:w="108" w:type="dxa"/>
            <w:bottom w:w="0" w:type="dxa"/>
            <w:right w:w="108" w:type="dxa"/>
          </w:tblCellMar>
        </w:tblPrEx>
        <w:trPr>
          <w:trHeight w:val="541" w:hRule="exact"/>
          <w:jc w:val="center"/>
        </w:trPr>
        <w:tc>
          <w:tcPr>
            <w:tcW w:w="4199" w:type="dxa"/>
            <w:noWrap w:val="0"/>
            <w:vAlign w:val="center"/>
          </w:tcPr>
          <w:p w14:paraId="39709DA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电话：</w:t>
            </w:r>
          </w:p>
        </w:tc>
        <w:tc>
          <w:tcPr>
            <w:tcW w:w="4200" w:type="dxa"/>
            <w:noWrap w:val="0"/>
            <w:vAlign w:val="center"/>
          </w:tcPr>
          <w:p w14:paraId="29C0A048">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电话：</w:t>
            </w:r>
          </w:p>
        </w:tc>
      </w:tr>
      <w:tr w14:paraId="4B73ADCC">
        <w:trPr>
          <w:trHeight w:val="541" w:hRule="exact"/>
          <w:jc w:val="center"/>
        </w:trPr>
        <w:tc>
          <w:tcPr>
            <w:tcW w:w="4199" w:type="dxa"/>
            <w:noWrap w:val="0"/>
            <w:vAlign w:val="center"/>
          </w:tcPr>
          <w:p w14:paraId="5AB4C41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传真：</w:t>
            </w:r>
          </w:p>
        </w:tc>
        <w:tc>
          <w:tcPr>
            <w:tcW w:w="4200" w:type="dxa"/>
            <w:noWrap w:val="0"/>
            <w:vAlign w:val="center"/>
          </w:tcPr>
          <w:p w14:paraId="51A3749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传真：</w:t>
            </w:r>
          </w:p>
        </w:tc>
      </w:tr>
      <w:tr w14:paraId="5C5F3100">
        <w:tblPrEx>
          <w:tblCellMar>
            <w:top w:w="0" w:type="dxa"/>
            <w:left w:w="108" w:type="dxa"/>
            <w:bottom w:w="0" w:type="dxa"/>
            <w:right w:w="108" w:type="dxa"/>
          </w:tblCellMar>
        </w:tblPrEx>
        <w:trPr>
          <w:trHeight w:val="541" w:hRule="exact"/>
          <w:jc w:val="center"/>
        </w:trPr>
        <w:tc>
          <w:tcPr>
            <w:tcW w:w="4199" w:type="dxa"/>
            <w:noWrap w:val="0"/>
            <w:vAlign w:val="center"/>
          </w:tcPr>
          <w:p w14:paraId="62F60316">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开户银行：</w:t>
            </w:r>
          </w:p>
        </w:tc>
        <w:tc>
          <w:tcPr>
            <w:tcW w:w="4200" w:type="dxa"/>
            <w:noWrap w:val="0"/>
            <w:vAlign w:val="center"/>
          </w:tcPr>
          <w:p w14:paraId="373575D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开户银行：</w:t>
            </w:r>
          </w:p>
        </w:tc>
      </w:tr>
      <w:tr w14:paraId="10A4BFCC">
        <w:tblPrEx>
          <w:tblCellMar>
            <w:top w:w="0" w:type="dxa"/>
            <w:left w:w="108" w:type="dxa"/>
            <w:bottom w:w="0" w:type="dxa"/>
            <w:right w:w="108" w:type="dxa"/>
          </w:tblCellMar>
        </w:tblPrEx>
        <w:trPr>
          <w:trHeight w:val="541" w:hRule="exact"/>
          <w:jc w:val="center"/>
        </w:trPr>
        <w:tc>
          <w:tcPr>
            <w:tcW w:w="4199" w:type="dxa"/>
            <w:noWrap w:val="0"/>
            <w:vAlign w:val="center"/>
          </w:tcPr>
          <w:p w14:paraId="3A6A24E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开户行账号：</w:t>
            </w:r>
          </w:p>
        </w:tc>
        <w:tc>
          <w:tcPr>
            <w:tcW w:w="4200" w:type="dxa"/>
            <w:noWrap w:val="0"/>
            <w:vAlign w:val="center"/>
          </w:tcPr>
          <w:p w14:paraId="1E5C9BB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开户行账号：</w:t>
            </w:r>
          </w:p>
        </w:tc>
      </w:tr>
      <w:tr w14:paraId="3BBD0126">
        <w:tblPrEx>
          <w:tblCellMar>
            <w:top w:w="0" w:type="dxa"/>
            <w:left w:w="108" w:type="dxa"/>
            <w:bottom w:w="0" w:type="dxa"/>
            <w:right w:w="108" w:type="dxa"/>
          </w:tblCellMar>
        </w:tblPrEx>
        <w:trPr>
          <w:trHeight w:val="541" w:hRule="exact"/>
          <w:jc w:val="center"/>
        </w:trPr>
        <w:tc>
          <w:tcPr>
            <w:tcW w:w="4199" w:type="dxa"/>
            <w:noWrap w:val="0"/>
            <w:vAlign w:val="center"/>
          </w:tcPr>
          <w:p w14:paraId="6AC1BE4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日期：</w:t>
            </w:r>
          </w:p>
        </w:tc>
        <w:tc>
          <w:tcPr>
            <w:tcW w:w="4200" w:type="dxa"/>
            <w:noWrap w:val="0"/>
            <w:vAlign w:val="center"/>
          </w:tcPr>
          <w:p w14:paraId="4F4D58A4">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日期：</w:t>
            </w:r>
          </w:p>
        </w:tc>
      </w:tr>
    </w:tbl>
    <w:p w14:paraId="2ACD3E40">
      <w:pPr>
        <w:rPr>
          <w:rFonts w:hint="eastAsia" w:ascii="宋体" w:hAnsi="宋体" w:cs="宋体"/>
          <w:bCs/>
          <w:color w:val="auto"/>
          <w:sz w:val="24"/>
        </w:rPr>
      </w:pPr>
    </w:p>
    <w:p w14:paraId="61DA3C0B">
      <w:pPr>
        <w:bidi w:val="0"/>
        <w:rPr>
          <w:rFonts w:hint="eastAsia"/>
          <w:highlight w:val="none"/>
        </w:rPr>
      </w:pPr>
      <w:r>
        <w:rPr>
          <w:rFonts w:hint="eastAsia" w:ascii="宋体" w:hAnsi="宋体" w:cs="宋体"/>
          <w:bCs/>
          <w:color w:val="auto"/>
          <w:sz w:val="24"/>
        </w:rPr>
        <w:t>备注：合同模板仅供参考，具体以实际签订合同为准。</w:t>
      </w:r>
    </w:p>
    <w:p w14:paraId="16FD6BBD"/>
    <w:sectPr>
      <w:pgSz w:w="11906" w:h="16838"/>
      <w:pgMar w:top="1327" w:right="1406" w:bottom="1327"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085BF"/>
    <w:multiLevelType w:val="singleLevel"/>
    <w:tmpl w:val="409085BF"/>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38145E0A"/>
    <w:rsid w:val="004F0F4D"/>
    <w:rsid w:val="04422004"/>
    <w:rsid w:val="052D7F46"/>
    <w:rsid w:val="05AD64DF"/>
    <w:rsid w:val="05C810FF"/>
    <w:rsid w:val="0ADE34F7"/>
    <w:rsid w:val="0CA653DC"/>
    <w:rsid w:val="0E274C11"/>
    <w:rsid w:val="11F33501"/>
    <w:rsid w:val="196640D0"/>
    <w:rsid w:val="1CB93D9D"/>
    <w:rsid w:val="1D48524C"/>
    <w:rsid w:val="1ECD5B85"/>
    <w:rsid w:val="22F664C5"/>
    <w:rsid w:val="243E5891"/>
    <w:rsid w:val="24CA4BBB"/>
    <w:rsid w:val="25273966"/>
    <w:rsid w:val="283050FB"/>
    <w:rsid w:val="2975156E"/>
    <w:rsid w:val="2D7C41E1"/>
    <w:rsid w:val="32A83CD6"/>
    <w:rsid w:val="34420C73"/>
    <w:rsid w:val="34A711E8"/>
    <w:rsid w:val="34DA0A32"/>
    <w:rsid w:val="35EC7D14"/>
    <w:rsid w:val="360E18B1"/>
    <w:rsid w:val="38145E0A"/>
    <w:rsid w:val="3B7B35B3"/>
    <w:rsid w:val="3BF3011D"/>
    <w:rsid w:val="3EC13E81"/>
    <w:rsid w:val="455C75A3"/>
    <w:rsid w:val="4D1D7170"/>
    <w:rsid w:val="4D646013"/>
    <w:rsid w:val="4F6944D6"/>
    <w:rsid w:val="542D3DC5"/>
    <w:rsid w:val="57923690"/>
    <w:rsid w:val="5D632CDE"/>
    <w:rsid w:val="5D8339B2"/>
    <w:rsid w:val="5EF37821"/>
    <w:rsid w:val="61D36C4B"/>
    <w:rsid w:val="61EC24E5"/>
    <w:rsid w:val="67984807"/>
    <w:rsid w:val="69417FC4"/>
    <w:rsid w:val="6BA918F3"/>
    <w:rsid w:val="6C775A02"/>
    <w:rsid w:val="6CB20263"/>
    <w:rsid w:val="6E3B0847"/>
    <w:rsid w:val="71310596"/>
    <w:rsid w:val="74DD3202"/>
    <w:rsid w:val="77062109"/>
    <w:rsid w:val="7AD5146A"/>
    <w:rsid w:val="7AFE2D3C"/>
    <w:rsid w:val="7B637D31"/>
    <w:rsid w:val="7D772034"/>
    <w:rsid w:val="7F045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3"/>
    <w:autoRedefine/>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4">
    <w:name w:val="heading 2"/>
    <w:basedOn w:val="1"/>
    <w:next w:val="1"/>
    <w:link w:val="14"/>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5">
    <w:name w:val="heading 3"/>
    <w:basedOn w:val="1"/>
    <w:next w:val="1"/>
    <w:link w:val="15"/>
    <w:autoRedefine/>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6">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1">
    <w:name w:val="Default Paragraph Font"/>
    <w:autoRedefine/>
    <w:unhideWhenUsed/>
    <w:qFormat/>
    <w:uiPriority w:val="1"/>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7">
    <w:name w:val="Body Text Indent"/>
    <w:basedOn w:val="1"/>
    <w:next w:val="2"/>
    <w:autoRedefine/>
    <w:qFormat/>
    <w:uiPriority w:val="0"/>
    <w:pPr>
      <w:ind w:firstLine="630"/>
    </w:pPr>
    <w:rPr>
      <w:sz w:val="32"/>
      <w:szCs w:val="20"/>
    </w:rPr>
  </w:style>
  <w:style w:type="paragraph" w:styleId="8">
    <w:name w:val="footer"/>
    <w:basedOn w:val="1"/>
    <w:autoRedefine/>
    <w:qFormat/>
    <w:uiPriority w:val="0"/>
    <w:pPr>
      <w:tabs>
        <w:tab w:val="center" w:pos="4153"/>
        <w:tab w:val="right" w:pos="8306"/>
      </w:tabs>
      <w:snapToGrid w:val="0"/>
      <w:jc w:val="left"/>
    </w:pPr>
    <w:rPr>
      <w:sz w:val="18"/>
      <w:szCs w:val="20"/>
    </w:rPr>
  </w:style>
  <w:style w:type="paragraph" w:styleId="9">
    <w:name w:val="Body Text First Indent 2"/>
    <w:basedOn w:val="7"/>
    <w:next w:val="1"/>
    <w:qFormat/>
    <w:uiPriority w:val="0"/>
    <w:pPr>
      <w:spacing w:before="50"/>
      <w:ind w:firstLine="200" w:firstLineChars="200"/>
    </w:pPr>
    <w:rPr>
      <w:rFonts w:ascii="Times New Roman" w:hAnsi="Times New Roman" w:eastAsia="宋体" w:cs="Times New Roman"/>
      <w:lang w:bidi="ar-SA"/>
    </w:rPr>
  </w:style>
  <w:style w:type="paragraph" w:customStyle="1" w:styleId="12">
    <w:name w:val="TOC 标题1"/>
    <w:basedOn w:val="3"/>
    <w:next w:val="1"/>
    <w:autoRedefine/>
    <w:unhideWhenUsed/>
    <w:qFormat/>
    <w:uiPriority w:val="39"/>
    <w:pPr>
      <w:outlineLvl w:val="9"/>
    </w:pPr>
  </w:style>
  <w:style w:type="character" w:customStyle="1" w:styleId="13">
    <w:name w:val="标题 1 Char"/>
    <w:basedOn w:val="11"/>
    <w:link w:val="3"/>
    <w:qFormat/>
    <w:uiPriority w:val="0"/>
    <w:rPr>
      <w:rFonts w:hint="eastAsia" w:ascii="PMingLiU" w:hAnsi="PMingLiU" w:eastAsia="宋体" w:cs="PMingLiU"/>
      <w:b/>
      <w:bCs/>
      <w:kern w:val="44"/>
      <w:sz w:val="30"/>
      <w:szCs w:val="32"/>
      <w:lang w:eastAsia="en-US"/>
    </w:rPr>
  </w:style>
  <w:style w:type="character" w:customStyle="1" w:styleId="14">
    <w:name w:val="标题 2 Char"/>
    <w:link w:val="4"/>
    <w:autoRedefine/>
    <w:qFormat/>
    <w:uiPriority w:val="0"/>
    <w:rPr>
      <w:rFonts w:ascii="宋体" w:hAnsi="宋体" w:eastAsia="宋体" w:cs="Times New Roman"/>
      <w:b/>
      <w:bCs/>
      <w:kern w:val="2"/>
      <w:sz w:val="28"/>
      <w:szCs w:val="32"/>
      <w:lang w:val="en-US" w:eastAsia="zh-CN" w:bidi="ar-SA"/>
    </w:rPr>
  </w:style>
  <w:style w:type="character" w:customStyle="1" w:styleId="15">
    <w:name w:val="标题 3 Char"/>
    <w:link w:val="5"/>
    <w:qFormat/>
    <w:uiPriority w:val="0"/>
    <w:rPr>
      <w:rFonts w:ascii="Times New Roman" w:hAnsi="Times New Roman" w:eastAsia="宋体"/>
      <w:b/>
      <w:bCs/>
      <w:kern w:val="2"/>
      <w:sz w:val="28"/>
      <w:szCs w:val="24"/>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1559</Words>
  <Characters>1591</Characters>
  <Lines>0</Lines>
  <Paragraphs>0</Paragraphs>
  <TotalTime>1</TotalTime>
  <ScaleCrop>false</ScaleCrop>
  <LinksUpToDate>false</LinksUpToDate>
  <CharactersWithSpaces>1712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2023-09-15T11:48:00Z</dcterms:created>
  <dc:creator>热血</dc:creator>
  <cp:lastModifiedBy>乔公子</cp:lastModifiedBy>
  <dcterms:modified xsi:type="dcterms:W3CDTF">2026-06-15T10:15:16Z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594DE139A99A46C3A7319D8DA96D9511_13</vt:lpwstr>
  </property>
  <property fmtid="{D5CDD505-2E9C-101B-9397-08002B2CF9AE}" pid="4" name="KSOTemplateDocerSaveRecord">
    <vt:lpwstr>eyJoZGlkIjoiYzQyZjliMTZkMDZhYzhkYWU3NzgxMmM2MDJkOTkyNzgiLCJ1c2VySWQiOiIxMDM1MzI2MTI3In0=</vt:lpwstr>
  </property>
</Properties>
</file>